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6B" w:rsidRDefault="00BA746B" w:rsidP="00BA746B">
      <w:pPr>
        <w:jc w:val="right"/>
      </w:pPr>
      <w:r>
        <w:rPr>
          <w:bCs/>
          <w:lang w:eastAsia="ar-SA"/>
        </w:rPr>
        <w:t xml:space="preserve">Приложение № 1 к Приказу № </w:t>
      </w:r>
      <w:r w:rsidR="00A56B20">
        <w:rPr>
          <w:bCs/>
          <w:lang w:eastAsia="ar-SA"/>
        </w:rPr>
        <w:t>75</w:t>
      </w:r>
      <w:r>
        <w:rPr>
          <w:bCs/>
          <w:lang w:eastAsia="ar-SA"/>
        </w:rPr>
        <w:t xml:space="preserve">-з от </w:t>
      </w:r>
      <w:r w:rsidR="00A56B20">
        <w:rPr>
          <w:bCs/>
          <w:lang w:eastAsia="ar-SA"/>
        </w:rPr>
        <w:t>05</w:t>
      </w:r>
      <w:r>
        <w:rPr>
          <w:bCs/>
          <w:lang w:eastAsia="ar-SA"/>
        </w:rPr>
        <w:t>.</w:t>
      </w:r>
      <w:r w:rsidR="00A56B20">
        <w:rPr>
          <w:bCs/>
          <w:lang w:eastAsia="ar-SA"/>
        </w:rPr>
        <w:t>03</w:t>
      </w:r>
      <w:bookmarkStart w:id="0" w:name="_GoBack"/>
      <w:bookmarkEnd w:id="0"/>
      <w:r>
        <w:rPr>
          <w:bCs/>
          <w:lang w:eastAsia="ar-SA"/>
        </w:rPr>
        <w:t>.2019г.</w:t>
      </w:r>
    </w:p>
    <w:p w:rsidR="00BA746B" w:rsidRDefault="00BA746B" w:rsidP="00BA746B">
      <w:pPr>
        <w:outlineLvl w:val="0"/>
        <w:rPr>
          <w:b/>
        </w:rPr>
      </w:pPr>
    </w:p>
    <w:p w:rsidR="00BA746B" w:rsidRDefault="00BA746B" w:rsidP="00BA746B">
      <w:pPr>
        <w:jc w:val="center"/>
        <w:outlineLvl w:val="0"/>
        <w:rPr>
          <w:b/>
        </w:rPr>
      </w:pPr>
      <w:r>
        <w:rPr>
          <w:b/>
        </w:rPr>
        <w:t>Изменения в Документацию о проведении запроса предложений в электронной форме на право заключения договора поставки индукционного промышленного парогенератора ИП-300 4 БПО (или эквивалент) (далее – Документация)</w:t>
      </w:r>
    </w:p>
    <w:p w:rsidR="00BA746B" w:rsidRDefault="00BA746B" w:rsidP="00BA746B">
      <w:pPr>
        <w:tabs>
          <w:tab w:val="left" w:pos="975"/>
        </w:tabs>
        <w:outlineLvl w:val="0"/>
      </w:pPr>
      <w:r>
        <w:t>1</w:t>
      </w:r>
      <w:r>
        <w:rPr>
          <w:b/>
        </w:rPr>
        <w:t xml:space="preserve">. </w:t>
      </w:r>
      <w:proofErr w:type="spellStart"/>
      <w:r>
        <w:t>пп</w:t>
      </w:r>
      <w:proofErr w:type="spellEnd"/>
      <w:r>
        <w:t xml:space="preserve">. 5.1. п. 5 </w:t>
      </w:r>
      <w:bookmarkStart w:id="1" w:name="_Toc507055976"/>
      <w:r>
        <w:t>Технического задани</w:t>
      </w:r>
      <w:bookmarkEnd w:id="1"/>
      <w:r>
        <w:t>я Документации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6485"/>
      </w:tblGrid>
      <w:tr w:rsidR="00BA746B" w:rsidTr="00BA746B">
        <w:trPr>
          <w:trHeight w:val="5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6B" w:rsidRDefault="00BA746B">
            <w:pPr>
              <w:jc w:val="center"/>
              <w:rPr>
                <w:b/>
                <w:bCs/>
                <w:lang w:eastAsia="en-US"/>
              </w:rPr>
            </w:pPr>
            <w:r>
              <w:t xml:space="preserve">    </w:t>
            </w:r>
            <w:r>
              <w:rPr>
                <w:b/>
                <w:bCs/>
              </w:rPr>
              <w:t>Товар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6B" w:rsidRDefault="00BA746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Параметры эквивалентности</w:t>
            </w:r>
          </w:p>
        </w:tc>
      </w:tr>
      <w:tr w:rsidR="00BA746B" w:rsidTr="00BA7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46B" w:rsidRDefault="00BA746B">
            <w:pPr>
              <w:rPr>
                <w:b/>
                <w:bCs/>
                <w:highlight w:val="yellow"/>
                <w:lang w:eastAsia="en-US"/>
              </w:rPr>
            </w:pPr>
            <w:r>
              <w:t>Индукционный промышленный парогенератор ИП-300 4 БПО (или эквивалент)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6B" w:rsidRDefault="00BA746B">
            <w:proofErr w:type="gramStart"/>
            <w:r>
              <w:t>Максимальная</w:t>
            </w:r>
            <w:proofErr w:type="gramEnd"/>
            <w:r>
              <w:t xml:space="preserve"> </w:t>
            </w:r>
            <w:proofErr w:type="spellStart"/>
            <w:r>
              <w:t>паропроизводительность</w:t>
            </w:r>
            <w:proofErr w:type="spellEnd"/>
            <w:r>
              <w:t xml:space="preserve"> – не менее 325 кг/ч и не более 350 кг/ч;</w:t>
            </w:r>
          </w:p>
          <w:p w:rsidR="00BA746B" w:rsidRDefault="00BA746B">
            <w:r>
              <w:t>Рабочее давление пара (воды), максимальное – 6 кг/см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;</w:t>
            </w:r>
          </w:p>
          <w:p w:rsidR="00BA746B" w:rsidRDefault="00BA746B">
            <w:r>
              <w:t>Потребляемая мощность – не менее 250 кВт и не более 300 кВт;</w:t>
            </w:r>
          </w:p>
          <w:p w:rsidR="00BA746B" w:rsidRDefault="00BA746B">
            <w:r>
              <w:t>Номинальное напряжение питающей сети трёхфазного переменного тока частотой 50 Гц – 380</w:t>
            </w:r>
            <w:proofErr w:type="gramStart"/>
            <w:r>
              <w:t xml:space="preserve"> В</w:t>
            </w:r>
            <w:proofErr w:type="gramEnd"/>
            <w:r>
              <w:t>;</w:t>
            </w:r>
          </w:p>
          <w:p w:rsidR="00BA746B" w:rsidRDefault="00BA746B">
            <w:r>
              <w:t>Температура пара на выходе – не более 160</w:t>
            </w:r>
            <w:proofErr w:type="gramStart"/>
            <w:r>
              <w:t xml:space="preserve"> °С</w:t>
            </w:r>
            <w:proofErr w:type="gramEnd"/>
            <w:r>
              <w:t>;</w:t>
            </w:r>
          </w:p>
          <w:p w:rsidR="00BA746B" w:rsidRDefault="00BA746B">
            <w:r>
              <w:t>Диапазон регулирования мощности – от 1 до 100 %.</w:t>
            </w:r>
          </w:p>
          <w:p w:rsidR="00BA746B" w:rsidRDefault="00BA746B"/>
          <w:p w:rsidR="00BA746B" w:rsidRDefault="00BA746B">
            <w:r>
              <w:t>Габаритные размеры, не более:</w:t>
            </w:r>
          </w:p>
          <w:p w:rsidR="00BA746B" w:rsidRDefault="00BA746B">
            <w:proofErr w:type="gramStart"/>
            <w:r>
              <w:t>Длинна</w:t>
            </w:r>
            <w:proofErr w:type="gramEnd"/>
            <w:r>
              <w:t xml:space="preserve"> 1600 мм;</w:t>
            </w:r>
          </w:p>
          <w:p w:rsidR="00BA746B" w:rsidRDefault="00BA746B">
            <w:r>
              <w:t>Ширина 2400 мм;</w:t>
            </w:r>
          </w:p>
          <w:p w:rsidR="00BA746B" w:rsidRDefault="00BA746B">
            <w:r>
              <w:t>Высота 2150 мм;</w:t>
            </w:r>
          </w:p>
          <w:p w:rsidR="00BA746B" w:rsidRDefault="00BA746B">
            <w:r>
              <w:t>Масса без воды – не более 1200 кг.</w:t>
            </w:r>
          </w:p>
          <w:p w:rsidR="00BA746B" w:rsidRDefault="00BA746B"/>
          <w:p w:rsidR="00BA746B" w:rsidRDefault="00BA746B">
            <w:pPr>
              <w:jc w:val="both"/>
              <w:rPr>
                <w:rFonts w:eastAsia="Calibri"/>
              </w:rPr>
            </w:pPr>
            <w:r>
              <w:t xml:space="preserve">Поставляется в комплекте с силовым кабелем </w:t>
            </w:r>
            <w:proofErr w:type="gramStart"/>
            <w:r>
              <w:t>КГ</w:t>
            </w:r>
            <w:proofErr w:type="gramEnd"/>
            <w:r>
              <w:t xml:space="preserve"> 3х150+1х95 в изоляции:</w:t>
            </w:r>
          </w:p>
          <w:p w:rsidR="00BA746B" w:rsidRDefault="00BA746B">
            <w:r>
              <w:t>- материал токопроводящей жилы – медь;</w:t>
            </w:r>
          </w:p>
          <w:p w:rsidR="00BA746B" w:rsidRDefault="00BA746B">
            <w:r>
              <w:t>- материал изоляции – резина;</w:t>
            </w:r>
          </w:p>
          <w:p w:rsidR="00BA746B" w:rsidRDefault="00BA746B">
            <w:r>
              <w:t>- количество жил – 3 шт.;</w:t>
            </w:r>
          </w:p>
          <w:p w:rsidR="00BA746B" w:rsidRDefault="00BA746B">
            <w:r>
              <w:t>- сечение – 150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;</w:t>
            </w:r>
          </w:p>
          <w:p w:rsidR="00BA746B" w:rsidRDefault="00BA746B">
            <w:r>
              <w:t>- сечение нулевого провода – 95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;</w:t>
            </w:r>
          </w:p>
          <w:p w:rsidR="00BA746B" w:rsidRDefault="00BA746B">
            <w:pPr>
              <w:rPr>
                <w:rFonts w:eastAsia="Calibri"/>
              </w:rPr>
            </w:pPr>
            <w:r>
              <w:t>- длина кабеля – 65 м.</w:t>
            </w:r>
          </w:p>
          <w:p w:rsidR="00BA746B" w:rsidRDefault="00BA746B"/>
          <w:p w:rsidR="00BA746B" w:rsidRDefault="00BA746B">
            <w:pPr>
              <w:jc w:val="both"/>
            </w:pPr>
            <w:r>
              <w:t>Устройство парогенератора должно соответствовать проекту завода изготовителя, и быть оборудовано всеми средствами безопасности по требованиям нормативной документации, в том числе предусматривать защиту оборудования:</w:t>
            </w:r>
          </w:p>
          <w:p w:rsidR="00BA746B" w:rsidRDefault="00BA746B">
            <w:r>
              <w:t>- по максимальному току;</w:t>
            </w:r>
          </w:p>
          <w:p w:rsidR="00BA746B" w:rsidRDefault="00BA746B">
            <w:r>
              <w:t>- по давлению рабочей среды;</w:t>
            </w:r>
          </w:p>
          <w:p w:rsidR="00BA746B" w:rsidRDefault="00BA746B">
            <w:pPr>
              <w:jc w:val="both"/>
              <w:rPr>
                <w:b/>
                <w:bCs/>
                <w:highlight w:val="yellow"/>
                <w:lang w:eastAsia="en-US"/>
              </w:rPr>
            </w:pPr>
            <w:r>
              <w:t>- по температуре рабочей среды.</w:t>
            </w:r>
          </w:p>
        </w:tc>
      </w:tr>
    </w:tbl>
    <w:p w:rsidR="00BA746B" w:rsidRDefault="00BA746B" w:rsidP="00BA746B">
      <w:pPr>
        <w:outlineLvl w:val="0"/>
      </w:pPr>
    </w:p>
    <w:p w:rsidR="00BA746B" w:rsidRDefault="00BA746B" w:rsidP="00BA746B">
      <w:pPr>
        <w:tabs>
          <w:tab w:val="left" w:pos="993"/>
        </w:tabs>
        <w:ind w:left="567"/>
        <w:contextualSpacing/>
        <w:jc w:val="both"/>
        <w:rPr>
          <w:lang w:eastAsia="ar-SA"/>
        </w:rPr>
      </w:pPr>
      <w:r>
        <w:rPr>
          <w:lang w:eastAsia="ar-SA"/>
        </w:rPr>
        <w:t>2. П. 4 Информационной карты Документации изложить в следующей редакции:</w:t>
      </w:r>
    </w:p>
    <w:p w:rsidR="00BA746B" w:rsidRDefault="00BA746B" w:rsidP="00BA746B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ind w:firstLine="709"/>
        <w:jc w:val="both"/>
        <w:outlineLvl w:val="1"/>
      </w:pPr>
      <w:r>
        <w:t xml:space="preserve">«4. </w:t>
      </w:r>
      <w:r>
        <w:rPr>
          <w:b/>
        </w:rPr>
        <w:t>Дата, время и место</w:t>
      </w:r>
      <w:r>
        <w:t xml:space="preserve"> рассмотрения, оценки и сопоставления заявок и подведения итогов:</w:t>
      </w:r>
      <w:r>
        <w:rPr>
          <w:b/>
        </w:rPr>
        <w:t xml:space="preserve"> 14.03.2019 в 10</w:t>
      </w:r>
      <w:r>
        <w:rPr>
          <w:b/>
          <w:noProof/>
        </w:rPr>
        <w:t xml:space="preserve">:00 </w:t>
      </w:r>
      <w:r>
        <w:t>(</w:t>
      </w:r>
      <w:proofErr w:type="gramStart"/>
      <w:r>
        <w:t>МСК</w:t>
      </w:r>
      <w:proofErr w:type="gramEnd"/>
      <w:r>
        <w:t xml:space="preserve">) по адресу: г. Мурманск, ул. Промышленная, д. 15, </w:t>
      </w:r>
      <w:proofErr w:type="spellStart"/>
      <w:r>
        <w:t>каб</w:t>
      </w:r>
      <w:proofErr w:type="spellEnd"/>
      <w:r>
        <w:t>. 16.».</w:t>
      </w:r>
    </w:p>
    <w:p w:rsidR="00BA746B" w:rsidRDefault="00BA746B" w:rsidP="00BA746B">
      <w:pPr>
        <w:tabs>
          <w:tab w:val="left" w:pos="993"/>
        </w:tabs>
        <w:ind w:firstLine="567"/>
        <w:jc w:val="both"/>
        <w:rPr>
          <w:lang w:eastAsia="ar-SA"/>
        </w:rPr>
      </w:pPr>
      <w:r>
        <w:rPr>
          <w:lang w:eastAsia="ar-SA"/>
        </w:rPr>
        <w:t>3. Абзац 2 п. 6 Информационной карты Документации изложить в следующей редакции:</w:t>
      </w:r>
    </w:p>
    <w:p w:rsidR="00BA746B" w:rsidRDefault="00BA746B" w:rsidP="00BA746B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«В период с </w:t>
      </w:r>
      <w:r>
        <w:rPr>
          <w:b/>
          <w:lang w:eastAsia="ar-SA"/>
        </w:rPr>
        <w:t>25.02.2019 по 13.03.2019</w:t>
      </w:r>
      <w:r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 xml:space="preserve">) – 13:30 (МСК)) со дня получения соответствующего запроса направит Документацию по указанному в обращении </w:t>
      </w:r>
      <w:r>
        <w:rPr>
          <w:lang w:eastAsia="ar-SA"/>
        </w:rPr>
        <w:lastRenderedPageBreak/>
        <w:t>почтовому либо электронному адресу. Предоставление Документации осуществляется бесплатно».</w:t>
      </w:r>
    </w:p>
    <w:p w:rsidR="00BA746B" w:rsidRDefault="00BA746B" w:rsidP="00BA746B">
      <w:pPr>
        <w:tabs>
          <w:tab w:val="left" w:pos="993"/>
        </w:tabs>
        <w:ind w:left="567"/>
        <w:contextualSpacing/>
        <w:jc w:val="both"/>
        <w:rPr>
          <w:lang w:eastAsia="ar-SA"/>
        </w:rPr>
      </w:pPr>
      <w:r>
        <w:rPr>
          <w:lang w:eastAsia="ar-SA"/>
        </w:rPr>
        <w:t>4. Абзац 4 п. 7 Информационной карты Документации изложить в следующей редакции:</w:t>
      </w:r>
    </w:p>
    <w:p w:rsidR="00BA746B" w:rsidRDefault="00BA746B" w:rsidP="00BA746B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>Дата начала и дата и время окончания срока подачи заявок: с 25.02.2019 по 16:42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>) 13.03.2019</w:t>
      </w:r>
      <w:r>
        <w:rPr>
          <w:lang w:eastAsia="ar-SA"/>
        </w:rPr>
        <w:t>».</w:t>
      </w:r>
    </w:p>
    <w:p w:rsidR="00BA746B" w:rsidRDefault="00BA746B" w:rsidP="00BA746B">
      <w:pPr>
        <w:tabs>
          <w:tab w:val="left" w:pos="993"/>
        </w:tabs>
        <w:ind w:left="709" w:hanging="142"/>
        <w:contextualSpacing/>
        <w:jc w:val="both"/>
        <w:rPr>
          <w:lang w:eastAsia="ar-SA"/>
        </w:rPr>
      </w:pPr>
      <w:r>
        <w:rPr>
          <w:lang w:eastAsia="ar-SA"/>
        </w:rPr>
        <w:t>5. Абзацы 3, 4 п. 8 Информационной карты Документации изложить в следующей редакции:</w:t>
      </w:r>
    </w:p>
    <w:p w:rsidR="00BA746B" w:rsidRDefault="00BA746B" w:rsidP="00BA746B">
      <w:pPr>
        <w:suppressAutoHyphens/>
        <w:autoSpaceDE w:val="0"/>
        <w:ind w:firstLine="709"/>
        <w:jc w:val="both"/>
        <w:rPr>
          <w:b/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>
        <w:rPr>
          <w:b/>
        </w:rPr>
        <w:t>и (или) извещения</w:t>
      </w:r>
      <w:r>
        <w:rPr>
          <w:b/>
          <w:lang w:eastAsia="ar-SA"/>
        </w:rPr>
        <w:t xml:space="preserve"> от Участников закупки: с 25.02.2019 по 16:42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>) 06.03.2019.</w:t>
      </w:r>
    </w:p>
    <w:p w:rsidR="00BA746B" w:rsidRDefault="00BA746B" w:rsidP="00BA746B">
      <w:pPr>
        <w:tabs>
          <w:tab w:val="left" w:pos="425"/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</w:t>
      </w:r>
      <w:r>
        <w:rPr>
          <w:b/>
        </w:rPr>
        <w:t>и (или) извещения</w:t>
      </w:r>
      <w:r>
        <w:rPr>
          <w:b/>
          <w:lang w:eastAsia="ar-SA"/>
        </w:rPr>
        <w:t>: с 26.02.2019 по 12.03.2019</w:t>
      </w:r>
      <w:r>
        <w:rPr>
          <w:lang w:eastAsia="ar-SA"/>
        </w:rPr>
        <w:t>».</w:t>
      </w:r>
    </w:p>
    <w:p w:rsidR="00BA746B" w:rsidRDefault="00BA746B" w:rsidP="00BA746B">
      <w:pPr>
        <w:tabs>
          <w:tab w:val="left" w:pos="993"/>
        </w:tabs>
        <w:ind w:left="709"/>
        <w:contextualSpacing/>
        <w:jc w:val="both"/>
        <w:rPr>
          <w:lang w:eastAsia="ar-SA"/>
        </w:rPr>
      </w:pPr>
      <w:r>
        <w:rPr>
          <w:lang w:eastAsia="ar-SA"/>
        </w:rPr>
        <w:t>6. В остальной части Документацию оставить без изменений.</w:t>
      </w:r>
    </w:p>
    <w:p w:rsidR="00BA746B" w:rsidRDefault="00BA746B" w:rsidP="00BA746B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BA746B" w:rsidRDefault="00BA746B" w:rsidP="00BA746B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>
        <w:rPr>
          <w:b/>
          <w:snapToGrid w:val="0"/>
          <w:u w:val="single"/>
        </w:rPr>
        <w:t xml:space="preserve">Участники, принявшие участие в </w:t>
      </w:r>
      <w:r>
        <w:rPr>
          <w:b/>
          <w:u w:val="single"/>
        </w:rPr>
        <w:t>запросе предложений в электронной форме</w:t>
      </w:r>
      <w:r>
        <w:rPr>
          <w:b/>
        </w:rPr>
        <w:t xml:space="preserve"> </w:t>
      </w:r>
      <w:r>
        <w:rPr>
          <w:b/>
          <w:u w:val="single"/>
        </w:rPr>
        <w:t>на право заключения договора поставки индукционного промышленного парогенератора ИП-300 4 БПО (или эквивалент)</w:t>
      </w:r>
      <w:r>
        <w:rPr>
          <w:b/>
          <w:snapToGrid w:val="0"/>
          <w:u w:val="single"/>
        </w:rPr>
        <w:t>, руководствуются п. 4.3.2. Документации</w:t>
      </w:r>
    </w:p>
    <w:p w:rsidR="00077226" w:rsidRDefault="00077226"/>
    <w:sectPr w:rsidR="00077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60"/>
    <w:rsid w:val="00077226"/>
    <w:rsid w:val="002B46F5"/>
    <w:rsid w:val="00A56B20"/>
    <w:rsid w:val="00B70D34"/>
    <w:rsid w:val="00BA2660"/>
    <w:rsid w:val="00BA746B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cp:lastPrinted>2019-03-05T07:18:00Z</cp:lastPrinted>
  <dcterms:created xsi:type="dcterms:W3CDTF">2019-03-05T07:17:00Z</dcterms:created>
  <dcterms:modified xsi:type="dcterms:W3CDTF">2019-03-05T13:16:00Z</dcterms:modified>
</cp:coreProperties>
</file>