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BD" w:rsidRPr="006B0B28" w:rsidRDefault="004F7EBD" w:rsidP="004F7EBD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2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5D3B37">
        <w:rPr>
          <w:bCs/>
          <w:lang w:eastAsia="ar-SA"/>
        </w:rPr>
        <w:t>31</w:t>
      </w:r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>от 06.02</w:t>
      </w:r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г.</w:t>
      </w:r>
    </w:p>
    <w:p w:rsidR="004F7EBD" w:rsidRPr="006B0B28" w:rsidRDefault="004F7EBD" w:rsidP="004F7EBD">
      <w:pPr>
        <w:outlineLvl w:val="0"/>
        <w:rPr>
          <w:b/>
        </w:rPr>
      </w:pPr>
    </w:p>
    <w:p w:rsidR="004F7EBD" w:rsidRPr="005E2E30" w:rsidRDefault="004F7EBD" w:rsidP="004F7EBD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 w:rsidRPr="000879C8">
        <w:rPr>
          <w:b/>
        </w:rPr>
        <w:t xml:space="preserve">о проведении запроса котировок в электронной форме на право заключения договора </w:t>
      </w:r>
      <w:r w:rsidRPr="00390EAD">
        <w:rPr>
          <w:b/>
        </w:rPr>
        <w:t>поставки задвижек стальных и чугунных</w:t>
      </w:r>
      <w:r w:rsidRPr="000879C8">
        <w:rPr>
          <w:b/>
        </w:rPr>
        <w:t xml:space="preserve">, </w:t>
      </w:r>
    </w:p>
    <w:p w:rsidR="004F7EBD" w:rsidRDefault="004F7EBD" w:rsidP="004F7EBD">
      <w:pPr>
        <w:ind w:firstLine="709"/>
        <w:jc w:val="both"/>
        <w:rPr>
          <w:b/>
        </w:rPr>
      </w:pPr>
    </w:p>
    <w:p w:rsidR="004F7EBD" w:rsidRPr="0003481E" w:rsidRDefault="004F7EBD" w:rsidP="004F7EBD">
      <w:pPr>
        <w:ind w:firstLine="709"/>
        <w:jc w:val="both"/>
      </w:pPr>
      <w:r w:rsidRPr="0003481E">
        <w:t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котировок в электронной форме на право заключения договора поставки задвижек стальных и чугунных, утвержденной Приказом № 11-з от 24.01.2018</w:t>
      </w:r>
      <w:r>
        <w:t>, с изменениями Приказом № 23-з от 31.01.2018</w:t>
      </w:r>
      <w:r w:rsidRPr="0003481E">
        <w:t xml:space="preserve"> 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4F7EBD" w:rsidRDefault="004F7EBD" w:rsidP="004F7EBD">
      <w:pPr>
        <w:ind w:firstLine="709"/>
        <w:jc w:val="both"/>
      </w:pPr>
      <w:r>
        <w:t>05</w:t>
      </w:r>
      <w:r w:rsidRPr="0003481E">
        <w:t>.0</w:t>
      </w:r>
      <w:r>
        <w:t>2</w:t>
      </w:r>
      <w:r w:rsidRPr="0003481E">
        <w:t>.2018 на сайт электронной площадки «РТС-тендер» (http://www.rts-tender.ru/) поступил запрос на разъяснение положений Документации по закупке № 181885, размещенной 24.01.2018 на электронной площадке «РТС-тендер» (http://www.rts-tender.ru/) и в единой информационной системе в сфере закупок товаров, работ, услуг (№31806046963) на право заключения договора поставки задвижек стальных и чугунных:</w:t>
      </w:r>
    </w:p>
    <w:p w:rsidR="004F7EBD" w:rsidRDefault="004F7EBD" w:rsidP="004F7EBD">
      <w:pPr>
        <w:ind w:firstLine="709"/>
        <w:jc w:val="both"/>
      </w:pPr>
      <w:r>
        <w:t>«</w:t>
      </w:r>
      <w:r w:rsidRPr="00A8278A">
        <w:t>Добрый день! Просьба уточнить - допустимо ли предложение аналогов по задвижкам 30с41нж и 30с64нж? Так как указание в ТЗ конкретных габаритных размеров предполагает задвижки определенного завода-изготовителя. Данный факт наводит на мысль, что тендер сделан под конкретного поставщика</w:t>
      </w:r>
      <w:r>
        <w:t>»</w:t>
      </w:r>
    </w:p>
    <w:p w:rsidR="004F7EBD" w:rsidRPr="007F378A" w:rsidRDefault="004F7EBD" w:rsidP="004F7EBD">
      <w:pPr>
        <w:ind w:firstLine="708"/>
        <w:jc w:val="both"/>
      </w:pPr>
      <w:r w:rsidRPr="00A8278A">
        <w:t>В ответ на запрос АО «МЭС» сообщает, что</w:t>
      </w:r>
      <w:r>
        <w:t xml:space="preserve"> </w:t>
      </w:r>
      <w:r w:rsidRPr="007F378A">
        <w:t>г</w:t>
      </w:r>
      <w:r w:rsidRPr="007F378A">
        <w:rPr>
          <w:rFonts w:eastAsia="Calibri"/>
          <w:lang w:eastAsia="en-US"/>
        </w:rPr>
        <w:t>абаритные размеры и описание задвижек по каждой позиции указаны в п.5.1. раздела 5 «Техническое задание» Документации о проведении запроса котировок в электронной форме на право заключения договора поставки задвижек стальных и чугунных. Предлагаемые участником закупки задвижки должны соответствовать указанным требованиям.</w:t>
      </w:r>
      <w:r w:rsidRPr="007F378A">
        <w:t xml:space="preserve"> Габаритные размеры и характеристики указаны в соответствии с необходимостью технологической совместимости с имеющимся оборудованием.</w:t>
      </w:r>
    </w:p>
    <w:p w:rsidR="004F7EBD" w:rsidRPr="007F378A" w:rsidRDefault="004F7EBD" w:rsidP="004F7EBD">
      <w:pPr>
        <w:ind w:firstLine="708"/>
        <w:jc w:val="both"/>
      </w:pPr>
      <w:r w:rsidRPr="007F378A">
        <w:t>Согласно нормам действующего законодательства, Заказчик вправе устанавливать требования к закупаемому товару исходя из своих объективных потребностей (таких как соответствие размерам, габаритам, различного рода ГОСТам, техническим регламентам, техническим условиям, так и не соответствующих им, а также которые могут быть выше этих требований либо отличатся от них). Совместимость с оборудованием является объективной потребностью Заказчика.</w:t>
      </w:r>
    </w:p>
    <w:p w:rsidR="004F7EBD" w:rsidRPr="007F378A" w:rsidRDefault="004F7EBD" w:rsidP="004F7EBD">
      <w:pPr>
        <w:ind w:firstLine="708"/>
        <w:jc w:val="both"/>
      </w:pPr>
      <w:r w:rsidRPr="007F378A">
        <w:t>Следует отметить, что ни Закон № 223-ФЗ, ни</w:t>
      </w:r>
      <w:bookmarkStart w:id="0" w:name="_GoBack"/>
      <w:bookmarkEnd w:id="0"/>
      <w:r w:rsidR="00AE2C51">
        <w:t xml:space="preserve"> </w:t>
      </w:r>
      <w:r w:rsidRPr="007F378A">
        <w:t>какой-либо иной нормативный акт не обязывают Заказчика проверять, сколько поставщиков способно предоставить необходимый товар, который будет соответствовать его требованиям.</w:t>
      </w:r>
    </w:p>
    <w:p w:rsidR="004F7EBD" w:rsidRPr="007F378A" w:rsidRDefault="004F7EBD" w:rsidP="004F7EBD">
      <w:pPr>
        <w:ind w:firstLine="708"/>
        <w:jc w:val="both"/>
      </w:pPr>
      <w:r w:rsidRPr="007F378A">
        <w:t xml:space="preserve">Из анализа перечисленных в части 1 статьи 17 Федерального закона от 26.07.2006 </w:t>
      </w:r>
      <w:r>
        <w:t>№ 135-ФЗ «О защите конкуренции»</w:t>
      </w:r>
      <w:r w:rsidRPr="007F378A">
        <w:t xml:space="preserve"> действий (координация организаторами торгов, запроса котировок или заказчиками деятельности его участников; создание участникам преимущественных условий, в том числе путем доступа к информации), подпадающих под запрет (хотя этот перечень не является исчерпывающим), видно, что запрет по существу установлен на предварительный, до проведения торгов, запроса котировок, выбор заказчиком желаемого контрагента и обеспечение его победы при создании видимости конкуренции.</w:t>
      </w:r>
    </w:p>
    <w:p w:rsidR="00E22BF0" w:rsidRDefault="004F7EBD" w:rsidP="0055451E">
      <w:pPr>
        <w:ind w:firstLine="708"/>
        <w:jc w:val="both"/>
      </w:pPr>
      <w:r w:rsidRPr="007F378A">
        <w:t>Соответственно, нарушением установленного указанной нормой запрета установление требований к товару может считаться только в том случае, если будет доказано, что поставить такой товар могло только одно определенное лицо. Если же такой товар может изготовить и (или) поставить любое лицо (множество лиц), установление таких требований к товару, не может быть признано ограничением конкуренции.</w:t>
      </w:r>
    </w:p>
    <w:sectPr w:rsidR="00E2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EBD"/>
    <w:rsid w:val="00216108"/>
    <w:rsid w:val="004F7EBD"/>
    <w:rsid w:val="0055451E"/>
    <w:rsid w:val="005D3B37"/>
    <w:rsid w:val="00AE2C51"/>
    <w:rsid w:val="00E2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2C8E-6DB3-4BA0-9075-5B228E6B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5</cp:revision>
  <dcterms:created xsi:type="dcterms:W3CDTF">2018-02-06T08:32:00Z</dcterms:created>
  <dcterms:modified xsi:type="dcterms:W3CDTF">2018-02-06T12:21:00Z</dcterms:modified>
</cp:coreProperties>
</file>