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77" w:rsidRPr="00545677" w:rsidRDefault="00545677" w:rsidP="0054567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Протокол рассмотрения и оценки заявок на участие в открытом конкурсе</w:t>
      </w:r>
    </w:p>
    <w:p w:rsidR="00545677" w:rsidRPr="00545677" w:rsidRDefault="00545677" w:rsidP="0054567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от 17.11.2014 №ПРО</w:t>
      </w:r>
      <w:proofErr w:type="gramStart"/>
      <w:r w:rsidRPr="0054567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1</w:t>
      </w:r>
      <w:proofErr w:type="gramEnd"/>
      <w:r w:rsidRPr="0054567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для закупки №0449000000714000001</w:t>
      </w:r>
    </w:p>
    <w:p w:rsidR="00545677" w:rsidRPr="00545677" w:rsidRDefault="00545677" w:rsidP="0054567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300" w:type="dxa"/>
          <w:right w:w="300" w:type="dxa"/>
        </w:tblCellMar>
        <w:tblLook w:val="04A0" w:firstRow="1" w:lastRow="0" w:firstColumn="1" w:lastColumn="0" w:noHBand="0" w:noVBand="1"/>
      </w:tblPr>
      <w:tblGrid>
        <w:gridCol w:w="4977"/>
        <w:gridCol w:w="2489"/>
        <w:gridCol w:w="2489"/>
      </w:tblGrid>
      <w:tr w:rsidR="00545677" w:rsidRPr="00545677" w:rsidTr="00545677">
        <w:tc>
          <w:tcPr>
            <w:tcW w:w="2500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45677" w:rsidRPr="00545677" w:rsidTr="00545677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183034, г. Мурманск, ул.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Промышленная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 15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19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ноября 2014</w:t>
            </w:r>
          </w:p>
        </w:tc>
      </w:tr>
      <w:tr w:rsidR="00545677" w:rsidRPr="00545677" w:rsidTr="00545677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(место рассмотрения и оценки заявок)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 подписания протокола)</w:t>
            </w:r>
          </w:p>
        </w:tc>
      </w:tr>
    </w:tbl>
    <w:p w:rsidR="00545677" w:rsidRPr="00545677" w:rsidRDefault="00545677" w:rsidP="00545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 Повестка дня</w:t>
      </w:r>
    </w:p>
    <w:p w:rsidR="00545677" w:rsidRPr="00545677" w:rsidRDefault="00545677" w:rsidP="00545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Повесткой дня является рассмотрение и оценка заявок на участие в открытом конкурсе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44-ФЗ).</w:t>
      </w:r>
    </w:p>
    <w:p w:rsidR="00545677" w:rsidRPr="00545677" w:rsidRDefault="00545677" w:rsidP="00545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было проведено 14 ноября 2014 года в 09:00 (по местному времени) по адресу ОАО «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Мурманэнергосбыт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183034, г. Мурманск, ул. 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Промышленная</w:t>
      </w:r>
      <w:proofErr w:type="gram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15 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каб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. 19.</w:t>
      </w:r>
    </w:p>
    <w:p w:rsidR="00545677" w:rsidRPr="00545677" w:rsidRDefault="00545677" w:rsidP="00545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Рассмотрение и оценка заявок на участие в открытом конкурсе были проведены в срок с даты вскрытия конвертов с заявками и (или) открытия доступа к поданным в форме электронных документов заявкам на участие в открытом конкурсе 17.11.2014 10:00 по адресу ОАО «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Мурманэнергосбыт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183034, г. Мурманск, ул. Промышленная, д. 15 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каб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. 19.</w:t>
      </w:r>
      <w:proofErr w:type="gramEnd"/>
    </w:p>
    <w:p w:rsidR="00545677" w:rsidRPr="00545677" w:rsidRDefault="00545677" w:rsidP="00545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Существенные условия контракта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и наименование объекта закупки: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Закупка №0449000000714000001 «Открытый конкурс на право заключения контракта на оказание услуг по проведению обязательного ежегодного аудита финансовой (бухгалтерской) отчетности ОАО «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Мурманэнергосбыт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 за 2014 год»</w:t>
      </w:r>
      <w:r w:rsidR="005265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(максимальная) цена контракта: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465800.00 Российский рубль (четыреста шестьдесят пять тысяч восемьсот рублей ноль копеек)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Источник финансирования: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Собственные средства ОАО "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Мурманэнергосбыт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"</w:t>
      </w:r>
      <w:r w:rsidR="005265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Место доставки товара, выполнения работы или оказания услуги: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Российская федерация, Мурманская 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обл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, Мурманск г, ОАО «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Мурманэнергосбыт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» по адресу: 183034, 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.М</w:t>
      </w:r>
      <w:proofErr w:type="gram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урманск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ул. Свердлова, д. 39. 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Сроки поставки товара или завершения работы либо график оказания услуг: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Сроки оказания услуг:01 декабря 2014 – 25.03.2015 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.А</w:t>
      </w:r>
      <w:proofErr w:type="gram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удиторская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проверка проводится в два этапа:1 этап. Аудиторская проверка ведения бухгалтерского учета и финансовой (бухгалтерской) отчетности за 9 месяцев 2014 года – проводится по 25.12.2014 года.2 этап. Аудиторская проверка ведения бухгалтерского учета и финансовой (бухгалтерской) отчетности за 2014 год – проводится по 25.03.2015 года.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Преимущества, предоставляемые заказчиком:</w:t>
      </w:r>
    </w:p>
    <w:p w:rsidR="00545677" w:rsidRPr="00545677" w:rsidRDefault="00545677" w:rsidP="005265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 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установлены</w:t>
      </w:r>
      <w:proofErr w:type="gramEnd"/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Требования, предъявляемые к участникам закупки:</w:t>
      </w:r>
    </w:p>
    <w:p w:rsidR="00545677" w:rsidRPr="00545677" w:rsidRDefault="00545677" w:rsidP="00526525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Единые требования к участникам (в соответствии с пунктом 1 части 1 Статьи 31 Федерального закона № 44-ФЗ);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44-ФЗ).</w:t>
      </w:r>
    </w:p>
    <w:p w:rsidR="00545677" w:rsidRPr="00545677" w:rsidRDefault="00545677" w:rsidP="00545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 Информация о заказчике</w:t>
      </w:r>
    </w:p>
    <w:p w:rsidR="00545677" w:rsidRPr="00545677" w:rsidRDefault="00545677" w:rsidP="00526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lastRenderedPageBreak/>
        <w:t>открытое акционерное общество "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Мурманэнергосбыт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"</w:t>
      </w:r>
      <w:r w:rsidR="005265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4. Информация о комиссии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Комиссия: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Конкурсная Комиссия по закупке на право заключения контракта на оказание услуг по проведению обязательного ежегодного аудита финансовой (бухгалтерской) отчетности ОАО «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Мурманэнергосбыт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» за 2014 год 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заседании комиссии по рассмотрению и оценке заявок на участие в открытом конкурсе присутствовали: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комиссии: 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Хоняк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Андрей Маратович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Член комиссии: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Дмитриева Лариса Викторовна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Член комиссии: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Новикова Евгения Александровна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Член комиссии: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Решетников Александр Евгеньевич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Секретарь комиссии: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Баннова Татьяна Владимировна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Количество присутствовавших членов комиссии: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 (пять)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них</w:t>
      </w:r>
      <w:proofErr w:type="gram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голосующие члены комиссии отсутствуют.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Комиссия правомочна осуществлять свои функции в соответствии с частью 8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кворум имеется.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 Результаты рассмотрения и оценки заявок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5.1 Комиссия рассмотрела заявки на участие в открытом конкурсе на предмет соответствия требованиям, установленным в конкурсной документации, а также требованиям Федерального закона № 44-ФЗ и приняла следующие решения: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окончании срока подачи заявок на участие в открытом конкурсе подано заявок –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 (четыре) шт.;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них соответствуют требованиям -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 (четыре) шт.;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отклонено заявок -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 (ноль) шт.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участниках конкурса, заявки на участие в конкурсе которых были рассмотрены: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"/>
        <w:gridCol w:w="1294"/>
        <w:gridCol w:w="3929"/>
        <w:gridCol w:w="1678"/>
        <w:gridCol w:w="1679"/>
      </w:tblGrid>
      <w:tr w:rsidR="00545677" w:rsidRPr="00545677" w:rsidTr="006805DE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заявки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 подачи заявки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об участнике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Предлагаемая цена (стоимость), </w:t>
            </w: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Российский рубль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рассмотрения заявок</w:t>
            </w:r>
          </w:p>
        </w:tc>
      </w:tr>
      <w:tr w:rsidR="00545677" w:rsidRPr="00545677" w:rsidTr="006805DE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05.11.2014 14:54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"Интерком-Аудит"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ИНН: 7729111520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КПП: 771432001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Почтовый адрес: 119501, г.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Лобачевского, д. 126, стр.6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 требованиям</w:t>
            </w:r>
          </w:p>
        </w:tc>
      </w:tr>
      <w:tr w:rsidR="00545677" w:rsidRPr="00545677" w:rsidTr="006805DE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13.11.2014 11:05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"ПРОФИ-АУДИТ"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ИНН: 3661053977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КПП: 366101001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Почтовый адрес: 394042, </w:t>
            </w:r>
            <w:proofErr w:type="spellStart"/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ВОРОНЕЖСКАЯ, г ВОРОНЕЖ,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ПЕРЕВЕРТКИНА, 18, 83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180000.00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 требованиям</w:t>
            </w:r>
          </w:p>
        </w:tc>
      </w:tr>
      <w:tr w:rsidR="00545677" w:rsidRPr="00545677" w:rsidTr="006805DE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13.11.2014 16:05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"ПРАКТИК-АУДИТ"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ИНН: 5191319411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КПП: 519001001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Почтовый адрес: 183038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урманск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Софьи Перовской, д.17, кв. 201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 требованиям</w:t>
            </w:r>
          </w:p>
        </w:tc>
      </w:tr>
      <w:tr w:rsidR="00545677" w:rsidRPr="00545677" w:rsidTr="006805DE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13.11.2014 16:06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"АУДИТОРСКАЯ КОМПАНИЯ "АЛЬЯНС-АУДИТ"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ИНН: 7841375522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КПП: 519001001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Почтовый адрес: 183038, </w:t>
            </w:r>
            <w:proofErr w:type="spellStart"/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МУРМАНСКАЯ, г МУРМАНСК,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ПРИВОКЗАЛЬНАЯ, 8, 5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 требованиям</w:t>
            </w:r>
          </w:p>
        </w:tc>
      </w:tr>
    </w:tbl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Комиссия осуществила оценку заявок на участие в открытом конкурсе для выявления победителя конкурса на основе критериев, указанных в конкурсной документации и получила следующие результаты:</w:t>
      </w:r>
    </w:p>
    <w:p w:rsidR="00545677" w:rsidRPr="00545677" w:rsidRDefault="00545677" w:rsidP="00240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присвоенные заявкам 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участие в конкурсе значения по каждому из критериев оценки заявок на участие</w:t>
      </w:r>
      <w:proofErr w:type="gram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конкурсе (Приложение 1);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принятое на основании результатов оценки заявок на участие в открытом конкурсе решение о присвоении таким заявкам порядковых номеров (Приложение 1);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Победителем признан участник с номером заявки №3, получившей первый номер: 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ОБЩЕСТВО С ОГРАНИЧЕННОЙ ОТВЕТСТВЕННОСТЬЮ "ПРАКТИК-АУДИТ"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Почтовый адрес: 183038 </w:t>
      </w:r>
      <w:proofErr w:type="spell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урманск</w:t>
      </w:r>
      <w:proofErr w:type="spellEnd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, ул. Софьи Перовской, д.17, кв. 201</w:t>
      </w:r>
      <w:r w:rsidR="00EB056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45677" w:rsidRPr="00545677" w:rsidRDefault="00545677" w:rsidP="00526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предложение о цене контракта: 220000.00 Российский рубль (двести двадцать тысяч рублей ноль копеек)</w:t>
      </w:r>
    </w:p>
    <w:p w:rsidR="00545677" w:rsidRPr="00545677" w:rsidRDefault="00545677" w:rsidP="00526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Второй номер 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присвоен участнику с номером заявки №2: 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ОБЩЕСТВО С ОГРАНИЧЕННОЙ ОТВЕТСТВЕННОСТЬЮ "ПРОФИ-АУДИТ"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Почтовый адрес: 394042, обл</w:t>
      </w:r>
      <w:r w:rsidR="0052652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ВОРОНЕЖСКАЯ, г</w:t>
      </w:r>
      <w:r w:rsidR="0052652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ВОРОНЕЖ, ул</w:t>
      </w:r>
      <w:r w:rsidR="0052652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ПЕРЕВЕРТКИНА, 18, 83</w:t>
      </w:r>
    </w:p>
    <w:p w:rsidR="00545677" w:rsidRPr="00545677" w:rsidRDefault="00545677" w:rsidP="00EB05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предложение о цене контракта: 180000.00 Российский рубль (сто восемьдесят тысяч рублей ноль копеек)</w:t>
      </w:r>
    </w:p>
    <w:p w:rsidR="00EB056A" w:rsidRDefault="00545677" w:rsidP="00EB056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6. Результаты конкурса</w:t>
      </w:r>
      <w:r w:rsidR="00EB056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</w:p>
    <w:p w:rsidR="00545677" w:rsidRPr="00545677" w:rsidRDefault="00545677" w:rsidP="00EB056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 результатам конкурса должен быть заключен контракт на условиях, указанных в заявке на участие в конкурсе, поданной участником конкурса, с которым заключается контракт, и в конкурсной документации. Заключение контракта по результатам конкурса должно производиться в порядке и в сроки, указанные в статье 54 Федерального закона № 44-ФЗ.</w:t>
      </w:r>
    </w:p>
    <w:p w:rsidR="00545677" w:rsidRPr="00545677" w:rsidRDefault="00545677" w:rsidP="00545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7. Публикация и хранение протокола</w:t>
      </w:r>
      <w:r w:rsidR="00EB056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</w:p>
    <w:p w:rsidR="00545677" w:rsidRPr="00545677" w:rsidRDefault="00545677" w:rsidP="00EB05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протокол подлежит размещению на официальном сайте www.zakupki.gov.ru в порядке и в сроки, установленные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45677" w:rsidRPr="00545677" w:rsidRDefault="00545677" w:rsidP="00545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8. Приложения к Протоколу</w:t>
      </w:r>
    </w:p>
    <w:p w:rsidR="00545677" w:rsidRPr="00545677" w:rsidRDefault="00545677" w:rsidP="00545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протоколу прилагаются и являются его неотъемлемой частью: </w:t>
      </w:r>
    </w:p>
    <w:p w:rsidR="00545677" w:rsidRPr="00545677" w:rsidRDefault="00545677" w:rsidP="00545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 Оценка предложений участнико</w:t>
      </w:r>
      <w:r w:rsidR="00EB05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по критериям оценок на 1 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л.</w:t>
      </w:r>
    </w:p>
    <w:p w:rsidR="00545677" w:rsidRPr="00545677" w:rsidRDefault="00545677" w:rsidP="00EB05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Оценка по Аудиту (Оценка по Аудиту.xlsx - 12.56 Кб)</w:t>
      </w:r>
    </w:p>
    <w:p w:rsidR="00545677" w:rsidRPr="00545677" w:rsidRDefault="00545677" w:rsidP="00545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членов комиссии: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5"/>
        <w:gridCol w:w="2810"/>
        <w:gridCol w:w="2810"/>
      </w:tblGrid>
      <w:tr w:rsidR="00545677" w:rsidRPr="00545677" w:rsidTr="006805DE">
        <w:tc>
          <w:tcPr>
            <w:tcW w:w="2000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45677" w:rsidRPr="00545677" w:rsidTr="006805DE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Хоняк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 Маратович</w:t>
            </w:r>
          </w:p>
        </w:tc>
      </w:tr>
      <w:tr w:rsidR="00545677" w:rsidRPr="00545677" w:rsidTr="006805DE">
        <w:trPr>
          <w:trHeight w:val="450"/>
        </w:trPr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677" w:rsidRPr="00545677" w:rsidTr="006805DE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Дмитриева Лариса Викторовна</w:t>
            </w:r>
          </w:p>
        </w:tc>
      </w:tr>
      <w:tr w:rsidR="00545677" w:rsidRPr="00545677" w:rsidTr="006805DE">
        <w:trPr>
          <w:trHeight w:val="450"/>
        </w:trPr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677" w:rsidRPr="00545677" w:rsidTr="006805DE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Новикова Евгения Александровна</w:t>
            </w:r>
          </w:p>
        </w:tc>
      </w:tr>
      <w:tr w:rsidR="00545677" w:rsidRPr="00545677" w:rsidTr="006805DE">
        <w:trPr>
          <w:trHeight w:val="450"/>
        </w:trPr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677" w:rsidRPr="00545677" w:rsidTr="006805DE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Решетников Александр Евгеньевич</w:t>
            </w:r>
          </w:p>
        </w:tc>
      </w:tr>
      <w:tr w:rsidR="00545677" w:rsidRPr="00545677" w:rsidTr="006805DE">
        <w:trPr>
          <w:trHeight w:val="450"/>
        </w:trPr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677" w:rsidRPr="00545677" w:rsidTr="006805DE"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комиссии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Баннова Татьяна Владимировна</w:t>
            </w:r>
          </w:p>
        </w:tc>
      </w:tr>
      <w:tr w:rsidR="00545677" w:rsidRPr="00545677" w:rsidTr="006805DE">
        <w:trPr>
          <w:trHeight w:val="450"/>
        </w:trPr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5677" w:rsidRDefault="00545677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56A" w:rsidRPr="00545677" w:rsidRDefault="00EB056A" w:rsidP="0054567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677" w:rsidRPr="00545677" w:rsidRDefault="00545677" w:rsidP="0054567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1 к Протоколу рассмотрения 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 оценки заявок на участие в открытом </w:t>
      </w: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конкурсе от 17.11.2014 №ПРО</w:t>
      </w:r>
      <w:proofErr w:type="gramStart"/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proofErr w:type="gramEnd"/>
    </w:p>
    <w:p w:rsidR="00545677" w:rsidRPr="00545677" w:rsidRDefault="00545677" w:rsidP="005456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677" w:rsidRPr="00545677" w:rsidRDefault="00545677" w:rsidP="00545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Оценка предложений участников по критериям оценок</w:t>
      </w:r>
    </w:p>
    <w:p w:rsidR="00545677" w:rsidRPr="00545677" w:rsidRDefault="00545677" w:rsidP="005456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677" w:rsidRPr="00545677" w:rsidRDefault="00545677" w:rsidP="00EB05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окончании срока подачи заявок на участие в открытом конкурсе подано заявок –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 (четыре) шт.;</w:t>
      </w:r>
    </w:p>
    <w:p w:rsidR="00545677" w:rsidRPr="00545677" w:rsidRDefault="00545677" w:rsidP="00EB05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5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них соответствуют требованиям - </w:t>
      </w:r>
      <w:r w:rsidRPr="0054567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 (четыре) шт.;</w:t>
      </w:r>
    </w:p>
    <w:tbl>
      <w:tblPr>
        <w:tblW w:w="5910" w:type="pct"/>
        <w:tblInd w:w="-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2619"/>
        <w:gridCol w:w="5930"/>
        <w:gridCol w:w="701"/>
        <w:gridCol w:w="1181"/>
      </w:tblGrid>
      <w:tr w:rsidR="00EB056A" w:rsidRPr="00545677" w:rsidTr="006805DE">
        <w:tc>
          <w:tcPr>
            <w:tcW w:w="284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заявки</w:t>
            </w:r>
          </w:p>
        </w:tc>
        <w:tc>
          <w:tcPr>
            <w:tcW w:w="1190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об участнике</w:t>
            </w:r>
          </w:p>
        </w:tc>
        <w:tc>
          <w:tcPr>
            <w:tcW w:w="2684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 исполнения контракта</w:t>
            </w:r>
          </w:p>
        </w:tc>
        <w:tc>
          <w:tcPr>
            <w:tcW w:w="312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заявки</w:t>
            </w:r>
          </w:p>
        </w:tc>
        <w:tc>
          <w:tcPr>
            <w:tcW w:w="529" w:type="pct"/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Порядковый номер</w:t>
            </w:r>
          </w:p>
        </w:tc>
      </w:tr>
      <w:tr w:rsidR="00EB056A" w:rsidRPr="00545677" w:rsidTr="006805DE">
        <w:tc>
          <w:tcPr>
            <w:tcW w:w="2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0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"Интерком-Аудит"</w:t>
            </w:r>
          </w:p>
        </w:tc>
        <w:tc>
          <w:tcPr>
            <w:tcW w:w="26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3146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контракта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60.00%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«Цена контракта».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баллов, присуждаемых по критерию оценки «Цена контракта», определяется по формуле: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40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в случае если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40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где: - предложение Участника конкурса, заявка (предложение) которого оценивается; - минимальное предложение из предложений по критерию оценки, сделанных Участниками конкурса;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в случае если,</w:t>
            </w:r>
            <w:r w:rsidR="00E23B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- максимальное предложение из предложений по критерию, сделанных Участниками конкурса.</w:t>
            </w:r>
            <w:proofErr w:type="gramEnd"/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расчета итогового рейтинга по заявке по критерию «Цена контракта» рейтинг, присуждаемый заявке Участника конкурса, умножается на соответствующий указанному критерию коэффициент значимости.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значимости критерия оценки - вес критерия оценки в совокупности критериев оценки, установленных в конкурсной Документации, деленный на 100.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295000.00 Российский рубль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заявки по критерию: </w:t>
            </w: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36.61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«Качественные характеристики оказываемых услуг».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Показатель: Качество услуг, максимальная оценка 100 баллов.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показателю «Качество услуг» оценивается:- общий подход к проведению обязательного аудита в соответствии с Техническим заданием, включая: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ИСО 9001-2008;-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обязательного ежегодного аудита финансовой (бухгалтерской) отчетности ОАО «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Участника конкурса оценивается с точки зрения достижения максимально эффективного результата оказания услуг.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оценки заявок (предложений) используется 100 балльная шкала оценки.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Баллы по показателю присваиваются от 0 до 100 в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зависимости от степени детализации и содержательной проработки предложения и представленных документов.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Показатели критерия оценки: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Качество услуг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100.00%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100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80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«Квалификация Участника конкурса».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каждому показателю критерия «Квалификация Участника конкурса» баллы присваиваются в следующем порядке:№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Наименование показателя Количество баллов Максимальное значение баллов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Квалификация трудовых ресурсов, предлагаемых для оказания услуг (C1).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Заказчиком будет оцениваться наличие квалификационного аттестата аудиторов, предполагаемых для оказания услуг 40 Наличие квалификационного аттестата аудитора с отметкой о прохождении ежегодного повышения квалификации, в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2013 году (наличие аттестата и иного документа, содержащего информацию о ежегодном повышении квалификации) 40 Наличие квалификационного аттестата аудитора без отметки о прохождении ежегодного повышения квалификации и без предоставления иного документа, содержащего информацию о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).Содержание: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Оценивается успешный опыт оказания услуг сопоставимого характера за последние 5 лет.</w:t>
            </w:r>
            <w:proofErr w:type="gramEnd"/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 сопоставимым характером понимается услуги по проведению аудиторских проверок ФГУП, ГУП, ОАО, с долей государственной собственности не менее 25 %.Под успешным оказанием услуг понимается отсутствие у Участника конкурса со стороны Заказчиков штрафных санкций, а так же отсутствие у Участника конкурса фактов претензионной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 со стороны Заказчиков и третьих лиц при исполнении ранее заключенных контрактов (договоров).</w:t>
            </w:r>
            <w:proofErr w:type="gramEnd"/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Показатели критерия оценки: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Квалификация трудовых ресурсов, предлагаемых для оказания услуг (C1). Заказчиком будет оцениваться наличие квалификационного аттестата аудиторов, предполагаемых для оказания услуг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40.00%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40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40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).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Деловая репутация Участника конкурса (C3)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3146F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30</w:t>
            </w:r>
          </w:p>
          <w:p w:rsidR="00545677" w:rsidRPr="00545677" w:rsidRDefault="00545677" w:rsidP="0031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66.61</w:t>
            </w:r>
          </w:p>
        </w:tc>
        <w:tc>
          <w:tcPr>
            <w:tcW w:w="529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EB056A" w:rsidRPr="00545677" w:rsidTr="006805DE">
        <w:tc>
          <w:tcPr>
            <w:tcW w:w="2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90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"ПРОФИ-АУДИТ"</w:t>
            </w:r>
          </w:p>
        </w:tc>
        <w:tc>
          <w:tcPr>
            <w:tcW w:w="26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контракта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60.00%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«Цена контракта».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баллов, присуждаемых по критер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 оценки «Цена контракта»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определяется по формуле: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 в случае если,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где: - предложение Участника конкурса, заявка (предложение) которого оценивается; - минимальное предложение из предложений по критерию оценки, сделанных Участниками конкурса;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в с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лучае если,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- максимальное предложение из предложений по критерию, сделанных Участниками конкурса.</w:t>
            </w:r>
            <w:proofErr w:type="gramEnd"/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расчета итогового рейтинга по заявке по критерию «Цена контракта» рейтинг, присуждаемый заявке Участника конкурса, умножается на соответствующий указанному критерию коэффициент значимости.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значимости критерия оценки - вес критерия оценки в совокупности критериев оценки, установленных в конкурсной Документации, деленный на 100.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180000.00 Российский рубль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заявки по критерию: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«Качественные характеристики оказываемых услуг».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Показатель: Качество услуг, максимальная оценка 100 баллов.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показателю «Качество услуг» оценивается:-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общий подход к проведению обязательного аудита в соответствии с Техническим заданием, включая: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ИСО 9001-2008;-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обязательного ежегодного аудита финансовой (бухгалтерской) отчетности ОАО «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Участника конкурса оценивается с точки зрения достижения максимально эффективного результата оказания услуг.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оценки заявок (предложений) используется 100 балльная шкала оценки.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Баллы по показателю присваиваются от 0 до 100 в зависимости от степени детализации и содержательной проработки предложения и представленных документов.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Показатели критерия оценки: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Качество услуг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100.00%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35.82</w:t>
            </w:r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«Квалификация Участника конкурса».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каждому показателю критерия «Квалификация Участника конкурса» баллы присваиваются в следующем порядке:№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Наименование показателя Количество баллов Максимальное значение баллов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Квалификация трудовых ресурсов, предлагаемых для оказания услуг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(C1).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Заказчиком будет оцениваться наличие квалификационного аттестата аудиторов, предполагаемых для оказания услуг 40 Наличие квалификационного аттестата аудитора с отметкой о прохождении ежегодного повышения квалификации, в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2013 году (наличие аттестата и иного документа, содержащего информацию о ежегодном повышении квалификации) 40 Наличие квалификационного аттестата аудитора без отметки о прохождении ежегодного повышения квалификации и без предоставления иного документа, содержащего информацию о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).Содержание: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Оценивается успешный опыт оказания услуг сопоставимого характера за последние 5 лет.</w:t>
            </w:r>
            <w:proofErr w:type="gramEnd"/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сопоставимым характером понимается услуги по проведению аудиторских проверок ФГУП, ГУП, ОАО, с долей государственной собственности не менее 25 %.Под успешным оказанием услуг понимается отсутствие у Участника конкурса со стороны Заказчиков штрафных санкций, а так же отсутствие у Участника конкурса фактов претензионной работы со стороны Заказчиков и третьих лиц при исполнении ранее заключенных контрактов (договоров).</w:t>
            </w:r>
            <w:proofErr w:type="gramEnd"/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Показатели критерия оценки: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Квалификация трудовых ресурсов, предлагаемых для оказания услуг (C1). Заказчиком будет оцениваться наличие квалификационного аттестата аудиторов, предполагаемых для оказания услуг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40.00%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40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40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20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Деловая репутация Участника конкурса (C3)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20</w:t>
            </w:r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83.16</w:t>
            </w:r>
          </w:p>
        </w:tc>
        <w:tc>
          <w:tcPr>
            <w:tcW w:w="529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EB056A" w:rsidRPr="00545677" w:rsidTr="006805DE">
        <w:tc>
          <w:tcPr>
            <w:tcW w:w="2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90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"ПРАКТИК-АУДИТ"</w:t>
            </w:r>
          </w:p>
        </w:tc>
        <w:tc>
          <w:tcPr>
            <w:tcW w:w="26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контракта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60.00%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«Цена контракта».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баллов, присуждаемых по кр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итерию оценки «Цена контракта»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по формуле: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в случае если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где: - предложение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Участника конкурса, заявка (предложение) которого оценивается; - минимальное предложение из предложений по критерию оценки, сделанных Участниками конкурса</w:t>
            </w:r>
            <w:r w:rsidR="0095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б) в случае если,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- максимальное предложение из предложений по критерию, сделанных Участниками конкурса.</w:t>
            </w:r>
            <w:proofErr w:type="gramEnd"/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расчета итогового рейтинга по заявке по критерию «Цена контракта» рейтинг, присуждаемый заявке Участника конкурса, умножается на соответствующий указанному критерию коэффициент значимости.</w:t>
            </w:r>
            <w:r w:rsidR="004C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значимости критерия оценки - вес критерия оценки в совокупности критериев оценки, установленных в конкурсной Документации, деленный на 100.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220000.00 Российский рубль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заявки по критерию: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49.09</w:t>
            </w:r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«Качественные характеристики оказываемых услуг».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Показатель: Качество услуг, максимальная оценка 100 баллов.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показателю «Качество услуг» оценивается:- общий подход к проведению обязательного аудита в соответствии с Техническим заданием, включая: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ИСО 9001-2008;-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обязательного ежегодного аудита финансовой (бухгалтерской) отчетности ОАО «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Участника конкурса оценивается с точки зрения достижения максимально эффективного результата оказания услуг.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оценки заявок (предложений) используется 100 балльная шкала оценки.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Баллы по показателю присваиваются от 0 до 100 в зависимости от степени детализации и содержательной проработки предложения и представленных документов.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Показатели критерия оценки: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Качество услуг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100.00%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83.7</w:t>
            </w:r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«Квалификация Участника конкурса».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каждому показателю критерия «Квалификация Участника конкурса» баллы присваиваются в следующем порядке:№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Наименование показателя Количество баллов Максимальное значение баллов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Квалификация трудовых ресурсов, предлагаемых для оказания услуг (C1).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Заказчиком будет оцениваться наличие квалификационного аттестата аудиторов, предполагаемых для оказания услуг 40 Наличие квалификационного аттестата аудитора с отметкой о прохождении ежегодного повышения квалификации, в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2013 году (наличие аттестата и иного документа, содержащего информацию о ежегодном повышении квалификации) 40 Наличие квалификационного аттестата аудитора без отметки о прохождении ежегодного повышения квалификации и без предоставления иного документа, содержащего информацию о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).Содержание: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Оценивается успешный опыт оказания услуг сопоставимого характера за последние 5 лет.</w:t>
            </w:r>
            <w:proofErr w:type="gramEnd"/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сопоставимым характером понимается услуги по проведению аудиторских проверок ФГУП, ГУП, ОАО, с долей государственной собственности не менее 25 %.Под успешным оказанием услуг понимается отсутствие у Участника конкурса со стороны Заказчиков штрафных санкций, а так же отсутствие у Участника конкурса фактов претензионной работы со стороны Заказчиков и третьих лиц при исполнении ранее заключенных контрактов (договоров).</w:t>
            </w:r>
            <w:proofErr w:type="gramEnd"/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Показатели критерия оценки: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Квалификация трудовых ресурсов, предлагаемых для оказания услуг (C1). Заказчиком будет оцениваться наличие квалификационного аттестата аудиторов, предполагаемых для оказания услуг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40.00%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40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40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30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Деловая репутация Участника конкурса (C3)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30</w:t>
            </w:r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85.83</w:t>
            </w:r>
          </w:p>
        </w:tc>
        <w:tc>
          <w:tcPr>
            <w:tcW w:w="529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545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EB056A" w:rsidRPr="00545677" w:rsidTr="006805DE">
        <w:tc>
          <w:tcPr>
            <w:tcW w:w="2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190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"АУДИТОРСКАЯ КОМПАНИЯ "АЛЬЯНС-АУДИТ"</w:t>
            </w:r>
          </w:p>
        </w:tc>
        <w:tc>
          <w:tcPr>
            <w:tcW w:w="2684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контракта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60.00%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«Цена контракта».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баллов, присуждаемых по крит</w:t>
            </w:r>
            <w:r w:rsidR="003E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ерию оценки «Цена контракта»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определяется по формуле: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 в случае если,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где: - предложение Участника конкурса, заявка (предложение) которого оценивается; - минимальное предложение из предложений по критерию оценки, сделанных Участниками конкурса;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в случае если,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- максимальное предложение из предложений по критерию, сделанных Участниками конкурса.</w:t>
            </w:r>
            <w:proofErr w:type="gramEnd"/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расчета итогового рейтинга по заявке по критерию «Цена контракта» рейтинг, присуждаемый заявке Участника конкурса, умножается на соответствующий указанному критерию коэффициент значимости.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значимости критерия оценки - вес критерия оценки в совокупности критериев оценки, установленных в конкурсной Документации, деленный на 100.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319000.00 Российский рубль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заявки по критерию: </w:t>
            </w:r>
            <w:r w:rsidRPr="0054567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33.86</w:t>
            </w:r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«Качественные характеристики оказываемых услуг».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Показатель: Качество услуг, максимальная оценка 100 баллов.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показателю «Качество услуг» оценивается:- общий подход к проведению обязательного аудита в соответствии с Техническим заданием, включая: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ИСО 9001-2008;-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обязательного ежегодного аудита финансовой (бухгалтерской) отчетности ОАО «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Участника конкурса оценивается с точки зрения достижения максимально эффективного результата оказания услуг.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оценки заявок (предложений) используется 100 балльная шкала оценки.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Баллы по показателю присваиваются от 0 до 100 в зависимости от степени детализации и содержательной проработки предложения и представленных документов.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Максимальное количество баллов присваивается заявке Участника конкурса, которая носит наиболее детализированный характер, глубина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Показатели критерия оценки: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Качество услуг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100.00%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заявки по показателю: </w:t>
            </w:r>
            <w:bookmarkStart w:id="0" w:name="_GoBack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36.55</w:t>
            </w:r>
            <w:bookmarkEnd w:id="0"/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критерия оценки: 20.00%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заявок по критерию «Квалификация Участника конкурса».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</w:t>
            </w:r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каждому показателю критерия «Квалификация Участника конкурса» баллы присваиваются в следующем порядке:№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Наименование показателя Количество баллов Максимальное значение баллов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Квалификация трудовых ресурсов, предлагаемых для оказания услуг (C1).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Заказчиком будет оцениваться наличие квалификационного аттестата аудиторов, предполагаемых для оказания услуг 40 Наличие квалификационного аттестата аудитора с отметкой о прохождении ежегодного повышения квалификации, в </w:t>
            </w:r>
            <w:proofErr w:type="spell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2013 году (наличие аттестата и иного документа, содержащего информацию о ежегодном повышении квалификации) 40 Наличие квалификационного аттестата аудитора без отметки о прохождении ежегодного повышения квалификации и без предоставления иного документа, содержащего информацию о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).Содержание: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Оценивается успешный опыт оказания услуг сопоставимого характера за последние 5 лет.</w:t>
            </w:r>
            <w:proofErr w:type="gramEnd"/>
            <w:r w:rsidR="003E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сопоставимым характером понимается услуги по проведению аудиторских проверок ФГУП, ГУП, ОАО, с долей государственной собственности не менее 25 %.Под успешным оказанием услуг понимается отсутствие у Участника конкурса со стороны Заказчиков штрафных санкций, а так же отсутствие у Участника конкурса фактов претензионной работы со стороны Заказчиков и третьих лиц при исполнении ранее заключенных контрактов (договоров).</w:t>
            </w:r>
            <w:proofErr w:type="gramEnd"/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критерию: 100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Показатели критерия оценки: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Квалификация трудовых ресурсов, предлагаемых для оказания услуг (C1). Заказчиком будет оцениваться наличие квалификационного аттестата аудиторов, предполагаемых для оказания услуг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40.00%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40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40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Деловая репутация Участника конкурса (C3)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Значимость показателя: 30.00%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значение: 30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Предложение участника: 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предложении участника: Сведения в составе заявки имеются.</w:t>
            </w:r>
          </w:p>
          <w:p w:rsidR="00545677" w:rsidRPr="00545677" w:rsidRDefault="00545677" w:rsidP="00E20B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заявки по показателю: 10</w:t>
            </w:r>
          </w:p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545677" w:rsidRPr="00545677" w:rsidRDefault="00545677" w:rsidP="00E20B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1F41" w:rsidRPr="00545677" w:rsidRDefault="00FB1F41" w:rsidP="00E20B46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FB1F41" w:rsidRPr="00545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677"/>
    <w:rsid w:val="002403DE"/>
    <w:rsid w:val="003146F3"/>
    <w:rsid w:val="003E5522"/>
    <w:rsid w:val="003E64B7"/>
    <w:rsid w:val="004C7EFE"/>
    <w:rsid w:val="00526525"/>
    <w:rsid w:val="00545677"/>
    <w:rsid w:val="006805DE"/>
    <w:rsid w:val="0095463E"/>
    <w:rsid w:val="00E20B46"/>
    <w:rsid w:val="00E23B17"/>
    <w:rsid w:val="00EB056A"/>
    <w:rsid w:val="00FB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5513">
          <w:marLeft w:val="0"/>
          <w:marRight w:val="0"/>
          <w:marTop w:val="52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57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1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9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14</Pages>
  <Words>5381</Words>
  <Characters>30678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4</cp:revision>
  <cp:lastPrinted>2014-11-18T05:22:00Z</cp:lastPrinted>
  <dcterms:created xsi:type="dcterms:W3CDTF">2014-11-18T04:54:00Z</dcterms:created>
  <dcterms:modified xsi:type="dcterms:W3CDTF">2014-11-18T05:56:00Z</dcterms:modified>
</cp:coreProperties>
</file>